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409yy6ss06t2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Plessy v. Ferguson (1896) and Brown v. Board of Education (1954)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r1e165o03lm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Directions: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the provided readings to answer the questions below. Compare and contrast the two cases and reflect on their significance in shaping American society.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soi8kr159fg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Part 1: Case Comparison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Complete the table by analyzing the key aspects of each case.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23.99375975039"/>
        <w:gridCol w:w="2458.034321372855"/>
        <w:gridCol w:w="3377.9719188767554"/>
        <w:tblGridChange w:id="0">
          <w:tblGrid>
            <w:gridCol w:w="3523.99375975039"/>
            <w:gridCol w:w="2458.034321372855"/>
            <w:gridCol w:w="3377.9719188767554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Plessy v. Ferguson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(1896)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Brown v. Board of Education (1954)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was the issue being decided?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was the Court’s decision?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reasons supported the decision?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was the dissenting opinion?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was the impact on society?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y20expu8n89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Part 2: Reflection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Answer the following questions in complete sentences. Use evidence from the readings to support your responses.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How did the Court's reasoning in </w:t>
      </w:r>
      <w:r w:rsidDel="00000000" w:rsidR="00000000" w:rsidRPr="00000000">
        <w:rPr>
          <w:i w:val="1"/>
          <w:rtl w:val="0"/>
        </w:rPr>
        <w:t xml:space="preserve">Plessy v. Ferguson</w:t>
      </w:r>
      <w:r w:rsidDel="00000000" w:rsidR="00000000" w:rsidRPr="00000000">
        <w:rPr>
          <w:rtl w:val="0"/>
        </w:rPr>
        <w:t xml:space="preserve"> reflect the social and political attitudes of its time?</w:t>
      </w:r>
    </w:p>
    <w:tbl>
      <w:tblPr>
        <w:tblStyle w:val="Table2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Why </w:t>
      </w:r>
      <w:r w:rsidDel="00000000" w:rsidR="00000000" w:rsidRPr="00000000">
        <w:rPr>
          <w:rtl w:val="0"/>
        </w:rPr>
        <w:t xml:space="preserve">was the </w:t>
      </w:r>
      <w:r w:rsidDel="00000000" w:rsidR="00000000" w:rsidRPr="00000000">
        <w:rPr>
          <w:i w:val="1"/>
          <w:rtl w:val="0"/>
        </w:rPr>
        <w:t xml:space="preserve">Brown</w:t>
      </w:r>
      <w:r w:rsidDel="00000000" w:rsidR="00000000" w:rsidRPr="00000000">
        <w:rPr>
          <w:i w:val="1"/>
          <w:rtl w:val="0"/>
        </w:rPr>
        <w:t xml:space="preserve"> v. Board of Education</w:t>
      </w:r>
      <w:r w:rsidDel="00000000" w:rsidR="00000000" w:rsidRPr="00000000">
        <w:rPr>
          <w:rtl w:val="0"/>
        </w:rPr>
        <w:t xml:space="preserve"> decision considered a turning point in the fight for civil rights?</w:t>
      </w:r>
    </w:p>
    <w:tbl>
      <w:tblPr>
        <w:tblStyle w:val="Table3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Compare the impact of the two cases on American society. How did one case reinforce segregation while the other worked to dismantle it?</w:t>
      </w:r>
    </w:p>
    <w:tbl>
      <w:tblPr>
        <w:tblStyle w:val="Table4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What lessons can we learn from these cases about the role of the Supreme Court in shaping equality and justice?</w:t>
      </w:r>
    </w:p>
    <w:tbl>
      <w:tblPr>
        <w:tblStyle w:val="Table5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