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Heading3"/>
        <w:keepNext w:val="0"/>
        <w:keepLines w:val="0"/>
        <w:spacing w:after="240" w:before="240" w:lineRule="auto"/>
        <w:ind w:left="0" w:firstLine="0"/>
        <w:jc w:val="center"/>
        <w:rPr>
          <w:b w:val="1"/>
          <w:color w:val="000000"/>
          <w:sz w:val="26"/>
          <w:szCs w:val="26"/>
        </w:rPr>
      </w:pPr>
      <w:bookmarkStart w:colFirst="0" w:colLast="0" w:name="_froznspgwob7" w:id="0"/>
      <w:bookmarkEnd w:id="0"/>
      <w:r w:rsidDel="00000000" w:rsidR="00000000" w:rsidRPr="00000000">
        <w:rPr>
          <w:b w:val="1"/>
          <w:color w:val="000000"/>
          <w:sz w:val="26"/>
          <w:szCs w:val="26"/>
          <w:rtl w:val="0"/>
        </w:rPr>
        <w:t xml:space="preserve">Educational Resistance Evidence Tracker </w:t>
      </w:r>
    </w:p>
    <w:p w:rsidR="00000000" w:rsidDel="00000000" w:rsidP="00000000" w:rsidRDefault="00000000" w:rsidRPr="00000000" w14:paraId="00000003">
      <w:pPr>
        <w:rPr/>
      </w:pPr>
      <w:r w:rsidDel="00000000" w:rsidR="00000000" w:rsidRPr="00000000">
        <w:rPr>
          <w:b w:val="1"/>
          <w:rtl w:val="0"/>
        </w:rPr>
        <w:t xml:space="preserve">Directions:</w:t>
      </w:r>
      <w:r w:rsidDel="00000000" w:rsidR="00000000" w:rsidRPr="00000000">
        <w:rPr>
          <w:rtl w:val="0"/>
        </w:rPr>
        <w:t xml:space="preserve"> Use the Educational Resistance Evidence Tracker to record key challenges faced, strategies used for resistance, and examples of empowerment from the materials you read about African American education during the Jim Crow era. Then, thoughtfully answer the reflection questions based on your findings</w:t>
      </w:r>
      <w:r w:rsidDel="00000000" w:rsidR="00000000" w:rsidRPr="00000000">
        <w:rPr>
          <w:rtl w:val="0"/>
        </w:rPr>
      </w:r>
    </w:p>
    <w:tbl>
      <w:tblPr>
        <w:tblStyle w:val="Table1"/>
        <w:tblW w:w="129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35"/>
        <w:gridCol w:w="2816.25"/>
        <w:gridCol w:w="2816.25"/>
        <w:gridCol w:w="2816.25"/>
        <w:gridCol w:w="2816.25"/>
        <w:tblGridChange w:id="0">
          <w:tblGrid>
            <w:gridCol w:w="1635"/>
            <w:gridCol w:w="2816.25"/>
            <w:gridCol w:w="2816.25"/>
            <w:gridCol w:w="2816.25"/>
            <w:gridCol w:w="2816.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rPr>
            </w:pPr>
            <w:r w:rsidDel="00000000" w:rsidR="00000000" w:rsidRPr="00000000">
              <w:rPr>
                <w:b w:val="1"/>
                <w:sz w:val="24"/>
                <w:szCs w:val="24"/>
                <w:rtl w:val="0"/>
              </w:rPr>
              <w:t xml:space="preserve">Primary Source </w:t>
            </w:r>
          </w:p>
        </w:tc>
        <w:tc>
          <w:tcPr>
            <w:tcBorders>
              <w:top w:color="000000" w:space="0" w:sz="3" w:val="single"/>
              <w:left w:color="000000" w:space="0" w:sz="3" w:val="single"/>
              <w:bottom w:color="000000" w:space="0" w:sz="3" w:val="single"/>
              <w:right w:color="000000" w:space="0" w:sz="3" w:val="single"/>
            </w:tcBorders>
            <w:tcMar>
              <w:top w:w="20.0" w:type="dxa"/>
              <w:left w:w="20.0" w:type="dxa"/>
              <w:bottom w:w="100.0" w:type="dxa"/>
              <w:right w:w="20.0" w:type="dxa"/>
            </w:tcMar>
            <w:vAlign w:val="top"/>
          </w:tcPr>
          <w:p w:rsidR="00000000" w:rsidDel="00000000" w:rsidP="00000000" w:rsidRDefault="00000000" w:rsidRPr="00000000" w14:paraId="00000005">
            <w:pPr>
              <w:widowControl w:val="0"/>
              <w:spacing w:line="240" w:lineRule="auto"/>
              <w:jc w:val="center"/>
              <w:rPr>
                <w:b w:val="1"/>
                <w:sz w:val="24"/>
                <w:szCs w:val="24"/>
              </w:rPr>
            </w:pPr>
            <w:r w:rsidDel="00000000" w:rsidR="00000000" w:rsidRPr="00000000">
              <w:rPr>
                <w:b w:val="1"/>
                <w:sz w:val="24"/>
                <w:szCs w:val="24"/>
                <w:rtl w:val="0"/>
              </w:rPr>
              <w:t xml:space="preserve">Challenges Highlighted</w:t>
            </w:r>
            <w:r w:rsidDel="00000000" w:rsidR="00000000" w:rsidRPr="00000000">
              <w:rPr>
                <w:rtl w:val="0"/>
              </w:rPr>
            </w:r>
          </w:p>
        </w:tc>
        <w:tc>
          <w:tcPr>
            <w:tcBorders>
              <w:top w:color="000000" w:space="0" w:sz="3" w:val="single"/>
              <w:left w:color="000000" w:space="0" w:sz="0" w:val="nil"/>
              <w:bottom w:color="000000" w:space="0" w:sz="3" w:val="single"/>
              <w:right w:color="000000" w:space="0" w:sz="3" w:val="single"/>
            </w:tcBorders>
            <w:tcMar>
              <w:top w:w="20.0" w:type="dxa"/>
              <w:left w:w="20.0" w:type="dxa"/>
              <w:bottom w:w="100.0" w:type="dxa"/>
              <w:right w:w="20.0" w:type="dxa"/>
            </w:tcMar>
            <w:vAlign w:val="top"/>
          </w:tcPr>
          <w:p w:rsidR="00000000" w:rsidDel="00000000" w:rsidP="00000000" w:rsidRDefault="00000000" w:rsidRPr="00000000" w14:paraId="00000006">
            <w:pPr>
              <w:widowControl w:val="0"/>
              <w:spacing w:line="240" w:lineRule="auto"/>
              <w:jc w:val="center"/>
              <w:rPr>
                <w:b w:val="1"/>
                <w:sz w:val="24"/>
                <w:szCs w:val="24"/>
              </w:rPr>
            </w:pPr>
            <w:r w:rsidDel="00000000" w:rsidR="00000000" w:rsidRPr="00000000">
              <w:rPr>
                <w:b w:val="1"/>
                <w:sz w:val="24"/>
                <w:szCs w:val="24"/>
                <w:rtl w:val="0"/>
              </w:rPr>
              <w:t xml:space="preserve">Strategies for Resistance</w:t>
            </w:r>
            <w:r w:rsidDel="00000000" w:rsidR="00000000" w:rsidRPr="00000000">
              <w:rPr>
                <w:rtl w:val="0"/>
              </w:rPr>
            </w:r>
          </w:p>
        </w:tc>
        <w:tc>
          <w:tcPr>
            <w:tcBorders>
              <w:top w:color="000000" w:space="0" w:sz="3" w:val="single"/>
              <w:left w:color="000000" w:space="0" w:sz="0" w:val="nil"/>
              <w:bottom w:color="000000" w:space="0" w:sz="3" w:val="single"/>
              <w:right w:color="000000" w:space="0" w:sz="3" w:val="single"/>
            </w:tcBorders>
            <w:tcMar>
              <w:top w:w="20.0" w:type="dxa"/>
              <w:left w:w="20.0" w:type="dxa"/>
              <w:bottom w:w="100.0" w:type="dxa"/>
              <w:right w:w="20.0" w:type="dxa"/>
            </w:tcMar>
            <w:vAlign w:val="top"/>
          </w:tcPr>
          <w:p w:rsidR="00000000" w:rsidDel="00000000" w:rsidP="00000000" w:rsidRDefault="00000000" w:rsidRPr="00000000" w14:paraId="00000007">
            <w:pPr>
              <w:widowControl w:val="0"/>
              <w:spacing w:line="240" w:lineRule="auto"/>
              <w:jc w:val="center"/>
              <w:rPr>
                <w:b w:val="1"/>
                <w:sz w:val="24"/>
                <w:szCs w:val="24"/>
              </w:rPr>
            </w:pPr>
            <w:r w:rsidDel="00000000" w:rsidR="00000000" w:rsidRPr="00000000">
              <w:rPr>
                <w:b w:val="1"/>
                <w:sz w:val="24"/>
                <w:szCs w:val="24"/>
                <w:rtl w:val="0"/>
              </w:rPr>
              <w:t xml:space="preserve">Key Quotations or Evidence</w:t>
            </w:r>
            <w:r w:rsidDel="00000000" w:rsidR="00000000" w:rsidRPr="00000000">
              <w:rPr>
                <w:rtl w:val="0"/>
              </w:rPr>
            </w:r>
          </w:p>
        </w:tc>
        <w:tc>
          <w:tcPr>
            <w:tcBorders>
              <w:top w:color="000000" w:space="0" w:sz="3" w:val="single"/>
              <w:left w:color="000000" w:space="0" w:sz="0" w:val="nil"/>
              <w:bottom w:color="000000" w:space="0" w:sz="3" w:val="single"/>
              <w:right w:color="000000" w:space="0" w:sz="3" w:val="single"/>
            </w:tcBorders>
            <w:tcMar>
              <w:top w:w="20.0" w:type="dxa"/>
              <w:left w:w="20.0" w:type="dxa"/>
              <w:bottom w:w="100.0" w:type="dxa"/>
              <w:right w:w="20.0" w:type="dxa"/>
            </w:tcMar>
            <w:vAlign w:val="top"/>
          </w:tcPr>
          <w:p w:rsidR="00000000" w:rsidDel="00000000" w:rsidP="00000000" w:rsidRDefault="00000000" w:rsidRPr="00000000" w14:paraId="00000008">
            <w:pPr>
              <w:widowControl w:val="0"/>
              <w:spacing w:line="240" w:lineRule="auto"/>
              <w:jc w:val="center"/>
              <w:rPr>
                <w:b w:val="1"/>
                <w:sz w:val="24"/>
                <w:szCs w:val="24"/>
              </w:rPr>
            </w:pPr>
            <w:r w:rsidDel="00000000" w:rsidR="00000000" w:rsidRPr="00000000">
              <w:rPr>
                <w:b w:val="1"/>
                <w:sz w:val="24"/>
                <w:szCs w:val="24"/>
                <w:rtl w:val="0"/>
              </w:rPr>
              <w:t xml:space="preserve">Connections to Fugitive Pedagogy</w:t>
            </w:r>
            <w:r w:rsidDel="00000000" w:rsidR="00000000" w:rsidRPr="00000000">
              <w:rPr>
                <w:rtl w:val="0"/>
              </w:rPr>
            </w:r>
          </w:p>
        </w:tc>
      </w:tr>
      <w:tr>
        <w:trPr>
          <w:cantSplit w:val="0"/>
          <w:trHeight w:val="86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6">
              <w:r w:rsidDel="00000000" w:rsidR="00000000" w:rsidRPr="00000000">
                <w:rPr>
                  <w:color w:val="0000ee"/>
                  <w:u w:val="single"/>
                  <w:rtl w:val="0"/>
                </w:rPr>
                <w:t xml:space="preserve">Refining the “Talented Tenth” theory</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6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7">
              <w:r w:rsidDel="00000000" w:rsidR="00000000" w:rsidRPr="00000000">
                <w:rPr>
                  <w:color w:val="0000ee"/>
                  <w:u w:val="single"/>
                  <w:rtl w:val="0"/>
                </w:rPr>
                <w:t xml:space="preserve">Education During Jim Crow Pictures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6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8">
              <w:r w:rsidDel="00000000" w:rsidR="00000000" w:rsidRPr="00000000">
                <w:rPr>
                  <w:color w:val="0000ee"/>
                  <w:u w:val="single"/>
                  <w:rtl w:val="0"/>
                </w:rPr>
                <w:t xml:space="preserve">Educational Aims.pdf</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cantSplit w:val="0"/>
          <w:trHeight w:val="867.978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hyperlink r:id="rId9">
              <w:r w:rsidDel="00000000" w:rsidR="00000000" w:rsidRPr="00000000">
                <w:rPr>
                  <w:color w:val="0000ee"/>
                  <w:u w:val="single"/>
                  <w:rtl w:val="0"/>
                </w:rPr>
                <w:t xml:space="preserve">The Importance of Education in Carter G</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E">
      <w:pPr>
        <w:pStyle w:val="Heading3"/>
        <w:keepNext w:val="0"/>
        <w:keepLines w:val="0"/>
        <w:spacing w:before="280" w:lineRule="auto"/>
        <w:rPr>
          <w:b w:val="1"/>
          <w:color w:val="000000"/>
          <w:sz w:val="26"/>
          <w:szCs w:val="26"/>
        </w:rPr>
      </w:pPr>
      <w:bookmarkStart w:colFirst="0" w:colLast="0" w:name="_kpspybuvm11u" w:id="1"/>
      <w:bookmarkEnd w:id="1"/>
      <w:r w:rsidDel="00000000" w:rsidR="00000000" w:rsidRPr="00000000">
        <w:rPr>
          <w:b w:val="1"/>
          <w:color w:val="000000"/>
          <w:sz w:val="26"/>
          <w:szCs w:val="26"/>
          <w:rtl w:val="0"/>
        </w:rPr>
        <w:t xml:space="preserve">Reflection Questions:</w:t>
      </w:r>
    </w:p>
    <w:p w:rsidR="00000000" w:rsidDel="00000000" w:rsidP="00000000" w:rsidRDefault="00000000" w:rsidRPr="00000000" w14:paraId="0000002F">
      <w:pPr>
        <w:numPr>
          <w:ilvl w:val="0"/>
          <w:numId w:val="1"/>
        </w:numPr>
        <w:spacing w:after="240" w:before="240" w:lineRule="auto"/>
        <w:ind w:left="720" w:hanging="360"/>
      </w:pPr>
      <w:r w:rsidDel="00000000" w:rsidR="00000000" w:rsidRPr="00000000">
        <w:rPr>
          <w:b w:val="1"/>
          <w:rtl w:val="0"/>
        </w:rPr>
        <w:t xml:space="preserve">What do you think was the most challenging obstacle African Americans faced in education during the Jim Crow era, and why?</w:t>
      </w:r>
    </w:p>
    <w:tbl>
      <w:tblPr>
        <w:tblStyle w:val="Table2"/>
        <w:tblW w:w="13080.0" w:type="dxa"/>
        <w:jc w:val="left"/>
        <w:tblInd w:w="-1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080"/>
        <w:tblGridChange w:id="0">
          <w:tblGrid>
            <w:gridCol w:w="130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5">
      <w:pPr>
        <w:numPr>
          <w:ilvl w:val="0"/>
          <w:numId w:val="1"/>
        </w:numPr>
        <w:spacing w:after="240" w:before="240" w:lineRule="auto"/>
        <w:ind w:left="720" w:hanging="360"/>
      </w:pPr>
      <w:r w:rsidDel="00000000" w:rsidR="00000000" w:rsidRPr="00000000">
        <w:rPr>
          <w:b w:val="1"/>
          <w:rtl w:val="0"/>
        </w:rPr>
        <w:t xml:space="preserve">How do you think the strategies used by Black educators, like "fugitive pedagogy," helped their communities? Give an example from the materials you reviewed.</w:t>
      </w:r>
    </w:p>
    <w:tbl>
      <w:tblPr>
        <w:tblStyle w:val="Table3"/>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3C">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3D">
      <w:pPr>
        <w:numPr>
          <w:ilvl w:val="0"/>
          <w:numId w:val="1"/>
        </w:numPr>
        <w:spacing w:after="240" w:before="240" w:lineRule="auto"/>
        <w:ind w:left="720" w:hanging="360"/>
      </w:pPr>
      <w:r w:rsidDel="00000000" w:rsidR="00000000" w:rsidRPr="00000000">
        <w:rPr>
          <w:b w:val="1"/>
          <w:rtl w:val="0"/>
        </w:rPr>
        <w:t xml:space="preserve">Why is it important to learn about the history of educational resistance, and how does it inspire you in your own education today?</w:t>
      </w:r>
    </w:p>
    <w:tbl>
      <w:tblPr>
        <w:tblStyle w:val="Table4"/>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60"/>
        <w:tblGridChange w:id="0">
          <w:tblGrid>
            <w:gridCol w:w="129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45">
      <w:pPr>
        <w:spacing w:after="240" w:before="240" w:lineRule="auto"/>
        <w:ind w:left="0" w:firstLine="0"/>
        <w:rPr>
          <w:b w:val="1"/>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Ofe2oQxu0M_ik3TTW-X143wr8ADiZU8tWGe1FRRETT4/edit?usp=drive_link" TargetMode="External"/><Relationship Id="rId5" Type="http://schemas.openxmlformats.org/officeDocument/2006/relationships/styles" Target="styles.xml"/><Relationship Id="rId6" Type="http://schemas.openxmlformats.org/officeDocument/2006/relationships/hyperlink" Target="https://docs.google.com/document/d/1q-MqGDKHaIlpdyT2AyeUSFgkbAOOWAAgQmH7K0LzIAE/edit?usp=drive_link" TargetMode="External"/><Relationship Id="rId7" Type="http://schemas.openxmlformats.org/officeDocument/2006/relationships/hyperlink" Target="https://drive.google.com/drive/folders/14gGCkTUmY_Ryq0G08PtIAYHx_cjN4TWc?usp=drive_link" TargetMode="External"/><Relationship Id="rId8" Type="http://schemas.openxmlformats.org/officeDocument/2006/relationships/hyperlink" Target="https://drive.google.com/file/d/1S0ahDhgb_zye2RzC_y595dltwJt-2Mq6/view?usp=drive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